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07C6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54010A79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C72117" w14:paraId="25145BC8" w14:textId="77777777" w:rsidTr="00C72117">
        <w:tc>
          <w:tcPr>
            <w:tcW w:w="6771" w:type="dxa"/>
            <w:hideMark/>
          </w:tcPr>
          <w:p w14:paraId="36A9A464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sl-SI" w:bidi="ar-SA"/>
              </w:rPr>
              <w:t>VLAGATELJ:</w:t>
            </w:r>
          </w:p>
        </w:tc>
      </w:tr>
      <w:tr w:rsidR="00C72117" w14:paraId="5D833CA0" w14:textId="77777777" w:rsidTr="00C72117">
        <w:trPr>
          <w:trHeight w:val="131"/>
        </w:trPr>
        <w:tc>
          <w:tcPr>
            <w:tcW w:w="6771" w:type="dxa"/>
          </w:tcPr>
          <w:p w14:paraId="1911DE20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l-SI" w:bidi="ar-SA"/>
              </w:rPr>
            </w:pPr>
          </w:p>
        </w:tc>
      </w:tr>
      <w:tr w:rsidR="00C72117" w14:paraId="06F4C1F6" w14:textId="77777777" w:rsidTr="00C72117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9BF83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l-SI" w:bidi="ar-SA"/>
              </w:rPr>
            </w:pPr>
          </w:p>
        </w:tc>
      </w:tr>
      <w:tr w:rsidR="00C72117" w14:paraId="7DDB38C9" w14:textId="77777777" w:rsidTr="00C72117"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1A4C6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12"/>
                <w:szCs w:val="1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ime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in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priimek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oz.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naziv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pravne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osebe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) </w:t>
            </w:r>
          </w:p>
        </w:tc>
      </w:tr>
      <w:tr w:rsidR="00C72117" w14:paraId="51BF583B" w14:textId="77777777" w:rsidTr="00C72117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E76C5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l-SI" w:bidi="ar-SA"/>
              </w:rPr>
            </w:pPr>
          </w:p>
        </w:tc>
      </w:tr>
      <w:tr w:rsidR="00C72117" w14:paraId="4461A063" w14:textId="77777777" w:rsidTr="00C72117"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8A228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naslov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oz.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sedež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) </w:t>
            </w:r>
          </w:p>
        </w:tc>
      </w:tr>
      <w:tr w:rsidR="00C72117" w14:paraId="351776B5" w14:textId="77777777" w:rsidTr="00C72117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2D738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l-SI" w:bidi="ar-SA"/>
              </w:rPr>
            </w:pPr>
          </w:p>
        </w:tc>
      </w:tr>
      <w:tr w:rsidR="00C72117" w14:paraId="6F741E91" w14:textId="77777777" w:rsidTr="00C72117"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1BEDD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zakoniti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zastopnik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oz.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pooblaščenec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) </w:t>
            </w:r>
          </w:p>
        </w:tc>
      </w:tr>
      <w:tr w:rsidR="00C72117" w14:paraId="397DCEBB" w14:textId="77777777" w:rsidTr="00C72117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58B4C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l-SI" w:bidi="ar-SA"/>
              </w:rPr>
            </w:pPr>
          </w:p>
        </w:tc>
      </w:tr>
      <w:tr w:rsidR="00C72117" w14:paraId="4198577D" w14:textId="77777777" w:rsidTr="00C72117"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0B9E5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matična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številka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) (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identifikacijska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št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. za DDV) </w:t>
            </w:r>
          </w:p>
        </w:tc>
      </w:tr>
      <w:tr w:rsidR="00C72117" w14:paraId="07FAB3A0" w14:textId="77777777" w:rsidTr="00C72117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13353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6"/>
                <w:szCs w:val="16"/>
                <w:lang w:eastAsia="sl-SI" w:bidi="ar-SA"/>
              </w:rPr>
            </w:pPr>
          </w:p>
        </w:tc>
      </w:tr>
      <w:tr w:rsidR="00C72117" w14:paraId="4DBE052A" w14:textId="77777777" w:rsidTr="00C72117">
        <w:tc>
          <w:tcPr>
            <w:tcW w:w="6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C9A4A4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(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telefon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) (e-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>pošta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12"/>
                <w:szCs w:val="12"/>
                <w:lang w:eastAsia="sl-SI" w:bidi="ar-SA"/>
              </w:rPr>
              <w:t xml:space="preserve">) </w:t>
            </w:r>
          </w:p>
        </w:tc>
      </w:tr>
    </w:tbl>
    <w:p w14:paraId="0DD8F114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val="sl-SI" w:eastAsia="sl-SI" w:bidi="ar-SA"/>
        </w:rPr>
      </w:pPr>
    </w:p>
    <w:p w14:paraId="56A5576B" w14:textId="77777777" w:rsidR="00C72117" w:rsidRDefault="00C72117" w:rsidP="00C72117">
      <w:pPr>
        <w:widowControl/>
        <w:shd w:val="clear" w:color="auto" w:fill="FFFF00"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</w:pP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sz w:val="22"/>
          <w:szCs w:val="22"/>
          <w:lang w:eastAsia="sl-SI" w:bidi="ar-SA"/>
        </w:rPr>
        <w:t>Vlogo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kern w:val="0"/>
          <w:sz w:val="22"/>
          <w:szCs w:val="22"/>
          <w:lang w:eastAsia="sl-SI" w:bidi="ar-SA"/>
        </w:rPr>
        <w:t xml:space="preserve"> </w:t>
      </w:r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je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potrebno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vložiti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>najkasneje</w:t>
      </w:r>
      <w:proofErr w:type="spellEnd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 xml:space="preserve"> 15 </w:t>
      </w:r>
      <w:proofErr w:type="spellStart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>dni</w:t>
      </w:r>
      <w:proofErr w:type="spellEnd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 xml:space="preserve"> pred </w:t>
      </w:r>
      <w:proofErr w:type="spellStart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>predvidenim</w:t>
      </w:r>
      <w:proofErr w:type="spellEnd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b/>
          <w:color w:val="000000"/>
          <w:kern w:val="0"/>
          <w:sz w:val="22"/>
          <w:szCs w:val="22"/>
          <w:lang w:eastAsia="sl-SI" w:bidi="ar-SA"/>
        </w:rPr>
        <w:t>datumom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uporabe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javne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površine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. </w:t>
      </w:r>
    </w:p>
    <w:p w14:paraId="201784D5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</w:p>
    <w:p w14:paraId="414F9481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</w:p>
    <w:p w14:paraId="2500EA63" w14:textId="77777777" w:rsidR="00C72117" w:rsidRDefault="00C72117" w:rsidP="00C72117">
      <w:pPr>
        <w:widowControl/>
        <w:shd w:val="clear" w:color="auto" w:fill="D6E3BC"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  <w:t>VLOGA ZA PODREJENO RABO JAVNIH POVRŠIN</w:t>
      </w:r>
    </w:p>
    <w:p w14:paraId="2F2CA36B" w14:textId="77777777" w:rsidR="00C72117" w:rsidRDefault="00C72117" w:rsidP="00C72117">
      <w:pPr>
        <w:widowControl/>
        <w:shd w:val="clear" w:color="auto" w:fill="D6E3BC"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(za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izvedbo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javnih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prireditev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,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javnih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shodov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,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prirejanje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razstav</w:t>
      </w:r>
      <w:proofErr w:type="spellEnd"/>
      <w:r>
        <w:rPr>
          <w:rFonts w:ascii="Arial Narrow" w:eastAsia="Times New Roman" w:hAnsi="Arial Narrow" w:cs="Calibri"/>
          <w:bCs/>
          <w:color w:val="000000"/>
          <w:kern w:val="0"/>
          <w:lang w:eastAsia="sl-SI" w:bidi="ar-SA"/>
        </w:rPr>
        <w:t>)</w:t>
      </w:r>
    </w:p>
    <w:p w14:paraId="5E861656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</w:p>
    <w:p w14:paraId="5913D29C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Spodaj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podpisani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prosim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za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izdajo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dovoljenja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oziroma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odločbe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občinski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taksi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za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podrejeno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rabo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javnih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površin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za </w:t>
      </w:r>
    </w:p>
    <w:p w14:paraId="68837DB1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03"/>
        <w:gridCol w:w="3104"/>
      </w:tblGrid>
      <w:tr w:rsidR="00C72117" w14:paraId="501DA7B5" w14:textId="77777777" w:rsidTr="00C7211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79D308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Tip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javne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prireditve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:</w:t>
            </w:r>
          </w:p>
        </w:tc>
        <w:tc>
          <w:tcPr>
            <w:tcW w:w="6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1AAAE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</w:tr>
      <w:tr w:rsidR="00C72117" w14:paraId="38041AFC" w14:textId="77777777" w:rsidTr="00C7211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CB7A412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Ime in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namen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javne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prireditve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javnega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shoda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razstave</w:t>
            </w:r>
            <w:proofErr w:type="spellEnd"/>
          </w:p>
        </w:tc>
        <w:tc>
          <w:tcPr>
            <w:tcW w:w="64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1E0DCC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</w:tr>
      <w:tr w:rsidR="00C72117" w14:paraId="775DDB69" w14:textId="77777777" w:rsidTr="00C7211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8C0127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  <w:p w14:paraId="6614F335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Prireditev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bo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potekala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4CC32161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dne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:</w:t>
            </w:r>
          </w:p>
        </w:tc>
        <w:tc>
          <w:tcPr>
            <w:tcW w:w="32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5A01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med:              in                    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uro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.</w:t>
            </w:r>
          </w:p>
        </w:tc>
      </w:tr>
      <w:tr w:rsidR="00C72117" w14:paraId="37639E8D" w14:textId="77777777" w:rsidTr="00C72117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6B73F82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Predvidena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lokacija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za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izvedbo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prireditve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0C3B84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  <w:p w14:paraId="3353EFE6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Lokacija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:</w:t>
            </w:r>
          </w:p>
        </w:tc>
        <w:tc>
          <w:tcPr>
            <w:tcW w:w="32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272631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  <w:p w14:paraId="16F10543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Katastrska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občina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:</w:t>
            </w:r>
          </w:p>
        </w:tc>
      </w:tr>
      <w:tr w:rsidR="00C72117" w14:paraId="31A2A9F8" w14:textId="77777777" w:rsidTr="00C72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3C65E71" w14:textId="77777777" w:rsidR="00C72117" w:rsidRDefault="00C72117">
            <w:pPr>
              <w:widowControl/>
              <w:suppressAutoHyphens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val="sl-SI" w:eastAsia="sl-SI" w:bidi="ar-SA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1D902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8F1843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</w:tr>
      <w:tr w:rsidR="00C72117" w14:paraId="43471E26" w14:textId="77777777" w:rsidTr="00C72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5F4A96" w14:textId="77777777" w:rsidR="00C72117" w:rsidRDefault="00C72117">
            <w:pPr>
              <w:widowControl/>
              <w:suppressAutoHyphens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val="sl-SI" w:eastAsia="sl-SI" w:bidi="ar-SA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BD3EE0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Parcela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št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.</w:t>
            </w:r>
          </w:p>
        </w:tc>
        <w:tc>
          <w:tcPr>
            <w:tcW w:w="32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21DDCF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Predvidena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površina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:</w:t>
            </w:r>
          </w:p>
        </w:tc>
      </w:tr>
      <w:tr w:rsidR="00C72117" w14:paraId="39D8F828" w14:textId="77777777" w:rsidTr="00C721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5C6A61" w14:textId="77777777" w:rsidR="00C72117" w:rsidRDefault="00C72117">
            <w:pPr>
              <w:widowControl/>
              <w:suppressAutoHyphens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val="sl-SI" w:eastAsia="sl-SI" w:bidi="ar-SA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69C528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BD7909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</w:tr>
    </w:tbl>
    <w:p w14:paraId="5CCD13D6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</w:p>
    <w:p w14:paraId="427EDAAC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K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vlogi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prilagam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>(</w:t>
      </w:r>
      <w:proofErr w:type="spellStart"/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>ustrezno</w:t>
      </w:r>
      <w:proofErr w:type="spellEnd"/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>vpisati</w:t>
      </w:r>
      <w:proofErr w:type="spellEnd"/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 xml:space="preserve"> in </w:t>
      </w:r>
      <w:proofErr w:type="spellStart"/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>označiti</w:t>
      </w:r>
      <w:proofErr w:type="spellEnd"/>
      <w:r>
        <w:rPr>
          <w:rFonts w:ascii="Arial Narrow" w:eastAsia="Times New Roman" w:hAnsi="Arial Narrow" w:cs="Calibri"/>
          <w:i/>
          <w:color w:val="000000"/>
          <w:kern w:val="0"/>
          <w:lang w:eastAsia="sl-SI" w:bidi="ar-SA"/>
        </w:rPr>
        <w:t>)</w:t>
      </w:r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: </w:t>
      </w:r>
    </w:p>
    <w:tbl>
      <w:tblPr>
        <w:tblW w:w="963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110"/>
        <w:gridCol w:w="567"/>
        <w:gridCol w:w="4501"/>
      </w:tblGrid>
      <w:tr w:rsidR="00C72117" w14:paraId="10D48ED8" w14:textId="77777777" w:rsidTr="00C7211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797E1D6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38BF910E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sl-SI" w:bidi="ar-SA"/>
              </w:rPr>
              <w:t>Obvezne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sl-SI" w:bidi="ar-SA"/>
              </w:rPr>
              <w:t>priloge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sl-SI" w:bidi="ar-SA"/>
              </w:rPr>
              <w:t xml:space="preserve">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82C9669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1930931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Ostale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priloge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: </w:t>
            </w:r>
          </w:p>
        </w:tc>
      </w:tr>
      <w:tr w:rsidR="00C72117" w14:paraId="0F5A5027" w14:textId="77777777" w:rsidTr="00C7211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B97A" w14:textId="77777777" w:rsidR="00C72117" w:rsidRDefault="00C72117">
            <w:pPr>
              <w:widowControl/>
              <w:suppressAutoHyphens w:val="0"/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:lang w:eastAsia="en-US" w:bidi="ar-SA"/>
              </w:rPr>
              <w:t>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6253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Vrsta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opreme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z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merami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in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načrt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postavitve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opreme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E4C" w14:textId="77777777" w:rsidR="00C72117" w:rsidRDefault="00C72117">
            <w:pPr>
              <w:widowControl/>
              <w:suppressAutoHyphens w:val="0"/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:lang w:eastAsia="en-US" w:bidi="ar-SA"/>
              </w:rPr>
              <w:t>□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2C6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pooblastilo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szCs w:val="22"/>
                <w:lang w:eastAsia="sl-SI" w:bidi="ar-SA"/>
              </w:rPr>
              <w:t xml:space="preserve">(za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szCs w:val="22"/>
                <w:lang w:eastAsia="sl-SI" w:bidi="ar-SA"/>
              </w:rPr>
              <w:t>podpis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szCs w:val="22"/>
                <w:lang w:eastAsia="sl-SI" w:bidi="ar-SA"/>
              </w:rPr>
              <w:t>pogodbe</w:t>
            </w:r>
            <w:proofErr w:type="spellEnd"/>
            <w:r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szCs w:val="22"/>
                <w:lang w:eastAsia="sl-SI" w:bidi="ar-SA"/>
              </w:rPr>
              <w:t>)</w:t>
            </w:r>
          </w:p>
          <w:p w14:paraId="19ACA59E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</w:tr>
      <w:tr w:rsidR="00C72117" w14:paraId="08ADC392" w14:textId="77777777" w:rsidTr="00C7211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B306" w14:textId="77777777" w:rsidR="00C72117" w:rsidRDefault="00C72117">
            <w:pPr>
              <w:widowControl/>
              <w:suppressAutoHyphens w:val="0"/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:lang w:eastAsia="en-US" w:bidi="ar-SA"/>
              </w:rPr>
              <w:t>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B244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Predlog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začasne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prometne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ureditve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A04F" w14:textId="77777777" w:rsidR="00C72117" w:rsidRDefault="00C72117">
            <w:pPr>
              <w:widowControl/>
              <w:suppressAutoHyphens w:val="0"/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:lang w:eastAsia="en-US" w:bidi="ar-SA"/>
              </w:rPr>
              <w:t>□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D17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drugo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  <w:t>:</w:t>
            </w:r>
          </w:p>
          <w:p w14:paraId="6D2A3E87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sl-SI" w:bidi="ar-SA"/>
              </w:rPr>
            </w:pPr>
          </w:p>
        </w:tc>
      </w:tr>
    </w:tbl>
    <w:p w14:paraId="0D347BB4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b/>
          <w:bCs/>
          <w:color w:val="000000"/>
          <w:kern w:val="0"/>
          <w:lang w:val="sl-SI" w:eastAsia="sl-SI" w:bidi="ar-SA"/>
        </w:rPr>
      </w:pPr>
    </w:p>
    <w:p w14:paraId="317A5CB1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Datum:__________________                            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Žig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                   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Podpis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:_______________________ </w:t>
      </w:r>
    </w:p>
    <w:p w14:paraId="3E42C3E6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</w:pPr>
    </w:p>
    <w:p w14:paraId="226220FA" w14:textId="6CB6D528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</w:pP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Vlagatelj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vlogo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pošlje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po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pošti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na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naslov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r>
        <w:rPr>
          <w:rFonts w:ascii="Arial Narrow" w:eastAsia="Times New Roman" w:hAnsi="Arial Narrow" w:cs="Calibri"/>
          <w:b/>
          <w:bCs/>
          <w:color w:val="000000"/>
          <w:kern w:val="0"/>
          <w:sz w:val="22"/>
          <w:szCs w:val="22"/>
          <w:lang w:eastAsia="sl-SI" w:bidi="ar-SA"/>
        </w:rPr>
        <w:t xml:space="preserve">Občina Ribnica,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kern w:val="0"/>
          <w:sz w:val="22"/>
          <w:szCs w:val="22"/>
          <w:lang w:eastAsia="sl-SI" w:bidi="ar-SA"/>
        </w:rPr>
        <w:t>Gorenjska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kern w:val="0"/>
          <w:sz w:val="22"/>
          <w:szCs w:val="22"/>
          <w:lang w:eastAsia="sl-SI" w:bidi="ar-SA"/>
        </w:rPr>
        <w:t xml:space="preserve"> cesta 3, 1310 Ribnica</w:t>
      </w:r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, po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elektronski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pošti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na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naslov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r>
        <w:rPr>
          <w:rFonts w:ascii="Arial Narrow" w:eastAsia="Times New Roman" w:hAnsi="Arial Narrow" w:cs="Calibri"/>
          <w:b/>
          <w:bCs/>
          <w:color w:val="000000"/>
          <w:kern w:val="0"/>
          <w:sz w:val="22"/>
          <w:szCs w:val="22"/>
          <w:lang w:eastAsia="sl-SI" w:bidi="ar-SA"/>
        </w:rPr>
        <w:t xml:space="preserve">obcina@ribnica.si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oziroma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jo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osebno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vloži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v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glavni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pisarni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Občine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Ribnica,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Gorenjska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 xml:space="preserve"> cesta 3, 1310 Ribnica.  </w:t>
      </w:r>
    </w:p>
    <w:p w14:paraId="3D1C5C36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</w:pPr>
    </w:p>
    <w:p w14:paraId="2997E92B" w14:textId="62DDA95A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/>
          <w:snapToGrid w:val="0"/>
          <w:color w:val="000000"/>
          <w:kern w:val="0"/>
          <w:sz w:val="22"/>
          <w:szCs w:val="22"/>
          <w:lang w:eastAsia="sl-SI" w:bidi="ar-SA"/>
        </w:rPr>
      </w:pPr>
      <w:r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  <w:t>____________________________________________________________________________________________</w:t>
      </w:r>
    </w:p>
    <w:p w14:paraId="43D8E200" w14:textId="77777777" w:rsidR="00C72117" w:rsidRDefault="00C72117" w:rsidP="00C72117">
      <w:pPr>
        <w:widowControl/>
        <w:tabs>
          <w:tab w:val="left" w:pos="142"/>
        </w:tabs>
        <w:suppressAutoHyphens w:val="0"/>
        <w:overflowPunct w:val="0"/>
        <w:autoSpaceDE w:val="0"/>
        <w:autoSpaceDN w:val="0"/>
        <w:adjustRightInd w:val="0"/>
        <w:ind w:right="-142"/>
        <w:jc w:val="both"/>
        <w:rPr>
          <w:rFonts w:ascii="Arial Narrow" w:eastAsia="Times New Roman" w:hAnsi="Arial Narrow" w:cs="Times New Roman"/>
          <w:snapToGrid w:val="0"/>
          <w:color w:val="auto"/>
          <w:kern w:val="0"/>
          <w:sz w:val="20"/>
          <w:szCs w:val="22"/>
          <w:lang w:eastAsia="sl-SI" w:bidi="ar-SA"/>
        </w:rPr>
      </w:pPr>
      <w:proofErr w:type="spellStart"/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>Plačilo</w:t>
      </w:r>
      <w:proofErr w:type="spellEnd"/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>upravne</w:t>
      </w:r>
      <w:proofErr w:type="spellEnd"/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>takse</w:t>
      </w:r>
      <w:proofErr w:type="spellEnd"/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>:</w:t>
      </w:r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izdajo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dovoljenja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ali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odločbe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je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potrebno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plačati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upravno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skladno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z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Zakonom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o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upravnih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taksah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(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Uradni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list RS,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št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. 106/10 - UPB, 14/15 - ZUUJFO, 84/15-ZZelP-J, 32/16, 30/18-ZKZaš</w:t>
      </w:r>
      <w:r>
        <w:rPr>
          <w:rFonts w:ascii="Arial Narrow" w:eastAsia="Times New Roman" w:hAnsi="Arial Narrow" w:cs="Times New Roman"/>
          <w:kern w:val="0"/>
          <w:sz w:val="22"/>
          <w:szCs w:val="22"/>
          <w:lang w:eastAsia="sl-SI" w:bidi="ar-SA"/>
        </w:rPr>
        <w:t xml:space="preserve"> in </w:t>
      </w:r>
      <w:r>
        <w:rPr>
          <w:rFonts w:ascii="Arial Narrow" w:eastAsia="Times New Roman" w:hAnsi="Arial Narrow" w:cs="Times New Roman"/>
          <w:kern w:val="0"/>
          <w:sz w:val="20"/>
          <w:szCs w:val="22"/>
          <w:lang w:eastAsia="sl-SI" w:bidi="ar-SA"/>
        </w:rPr>
        <w:t>189/20-ZFRO)</w:t>
      </w:r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  po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tarifni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št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. 1 v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znesku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4,50 EUR in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tarifni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št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. 3 v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znesku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18,10 EUR,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skupaj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v </w:t>
      </w:r>
      <w:proofErr w:type="spellStart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>višini</w:t>
      </w:r>
      <w:proofErr w:type="spellEnd"/>
      <w:r>
        <w:rPr>
          <w:rFonts w:ascii="Arial Narrow" w:eastAsia="Times New Roman" w:hAnsi="Arial Narrow" w:cs="Times New Roman"/>
          <w:snapToGrid w:val="0"/>
          <w:kern w:val="0"/>
          <w:sz w:val="20"/>
          <w:szCs w:val="22"/>
          <w:lang w:eastAsia="sl-SI" w:bidi="ar-SA"/>
        </w:rPr>
        <w:t xml:space="preserve"> </w:t>
      </w:r>
      <w:r>
        <w:rPr>
          <w:rFonts w:ascii="Arial Narrow" w:eastAsia="Times New Roman" w:hAnsi="Arial Narrow" w:cs="Times New Roman"/>
          <w:b/>
          <w:snapToGrid w:val="0"/>
          <w:kern w:val="0"/>
          <w:sz w:val="20"/>
          <w:szCs w:val="22"/>
          <w:lang w:eastAsia="sl-SI" w:bidi="ar-SA"/>
        </w:rPr>
        <w:t>22,60 EUR.</w:t>
      </w:r>
    </w:p>
    <w:p w14:paraId="7262E97F" w14:textId="2A5D98F0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sz w:val="22"/>
          <w:szCs w:val="22"/>
          <w:lang w:eastAsia="sl-SI" w:bidi="ar-SA"/>
        </w:rPr>
      </w:pP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Upravno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takso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je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mogoče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plačati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neposredno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v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glavni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pisarni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Občine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Ribnica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ali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nakazati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na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TRR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Občine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Ribnica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št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. </w:t>
      </w:r>
      <w:r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2"/>
          <w:lang w:eastAsia="sl-SI" w:bidi="ar-SA"/>
        </w:rPr>
        <w:t xml:space="preserve">SI56 </w:t>
      </w:r>
      <w:r w:rsidR="0068387C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2"/>
          <w:lang w:val="sl-SI" w:eastAsia="sl-SI" w:bidi="ar-SA"/>
        </w:rPr>
        <w:t>0110 0504 0309 183</w:t>
      </w:r>
      <w:r w:rsidR="0068387C" w:rsidRPr="00692F20">
        <w:rPr>
          <w:rFonts w:ascii="Arial Narrow" w:eastAsia="Times New Roman" w:hAnsi="Arial Narrow" w:cs="Times New Roman"/>
          <w:bCs/>
          <w:color w:val="auto"/>
          <w:kern w:val="0"/>
          <w:sz w:val="20"/>
          <w:szCs w:val="18"/>
          <w:lang w:val="sl-SI" w:eastAsia="sl-SI" w:bidi="ar-SA"/>
        </w:rPr>
        <w:t xml:space="preserve"> </w:t>
      </w:r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>sklic</w:t>
      </w:r>
      <w:proofErr w:type="spellEnd"/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t xml:space="preserve"> 11 76040 - 7111002. </w:t>
      </w:r>
      <w:r>
        <w:rPr>
          <w:rFonts w:ascii="Arial Narrow" w:eastAsia="Times New Roman" w:hAnsi="Arial Narrow" w:cs="Calibri"/>
          <w:color w:val="000000"/>
          <w:kern w:val="0"/>
          <w:sz w:val="20"/>
          <w:szCs w:val="22"/>
          <w:lang w:eastAsia="sl-SI" w:bidi="ar-SA"/>
        </w:rPr>
        <w:br w:type="page"/>
      </w:r>
    </w:p>
    <w:p w14:paraId="57A4A2A0" w14:textId="77777777" w:rsidR="00C72117" w:rsidRDefault="00C72117" w:rsidP="00C72117">
      <w:pPr>
        <w:widowControl/>
        <w:shd w:val="clear" w:color="auto" w:fill="D6E3BC"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lastRenderedPageBreak/>
        <w:t>NAVODILA</w:t>
      </w:r>
    </w:p>
    <w:p w14:paraId="61FFA6C5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</w:p>
    <w:p w14:paraId="27ADBAD2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</w:p>
    <w:p w14:paraId="4EE4C94E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  <w:t>UPORABNINA OZIROMA OBČINSKA TAKSA ZA UPORABO JAVNIH POVRŠIN</w:t>
      </w:r>
    </w:p>
    <w:p w14:paraId="3A0B85F6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sz w:val="10"/>
          <w:szCs w:val="10"/>
          <w:lang w:eastAsia="sl-SI" w:bidi="ar-SA"/>
        </w:rPr>
      </w:pPr>
    </w:p>
    <w:p w14:paraId="671EF2ED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sz w:val="10"/>
          <w:szCs w:val="10"/>
          <w:lang w:eastAsia="sl-SI" w:bidi="ar-SA"/>
        </w:rPr>
      </w:pPr>
    </w:p>
    <w:p w14:paraId="295A4FA8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sz w:val="10"/>
          <w:szCs w:val="10"/>
          <w:lang w:eastAsia="sl-SI" w:bidi="ar-SA"/>
        </w:rPr>
      </w:pPr>
    </w:p>
    <w:p w14:paraId="08AEA68B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6.,7., 13. in 14.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člen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Odloka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posebni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in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podrejeni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rabi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javnih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površin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(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Uradni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list RS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št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. 24/2012)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določajo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višino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uporabnine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oziroma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občinske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takse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za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uporabo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javnih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površin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in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opredeljujejo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v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katerih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primerih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je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stranka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oproščena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plačila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uporabnine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oziroma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takse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. </w:t>
      </w:r>
    </w:p>
    <w:p w14:paraId="2F37D30D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</w:p>
    <w:p w14:paraId="0BA8682D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  <w:t>OBČINSKA TAKSA</w:t>
      </w:r>
    </w:p>
    <w:p w14:paraId="56B140A4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</w:pPr>
    </w:p>
    <w:p w14:paraId="6909B98E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center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  <w:t xml:space="preserve">13.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kern w:val="0"/>
          <w:lang w:eastAsia="sl-SI" w:bidi="ar-SA"/>
        </w:rPr>
        <w:t>člen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3"/>
      </w:tblGrid>
      <w:tr w:rsidR="00C72117" w14:paraId="36DD7FB1" w14:textId="77777777" w:rsidTr="00C72117">
        <w:trPr>
          <w:trHeight w:val="126"/>
        </w:trPr>
        <w:tc>
          <w:tcPr>
            <w:tcW w:w="9223" w:type="dxa"/>
          </w:tcPr>
          <w:p w14:paraId="35205E98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</w:pPr>
          </w:p>
          <w:p w14:paraId="35D9B72D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Občinska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taksa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 xml:space="preserve"> za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uporabo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javne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površine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znaša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  <w:t>:</w:t>
            </w:r>
          </w:p>
          <w:p w14:paraId="7C54F789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</w:pPr>
          </w:p>
          <w:tbl>
            <w:tblPr>
              <w:tblW w:w="844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70"/>
              <w:gridCol w:w="1275"/>
            </w:tblGrid>
            <w:tr w:rsidR="00C72117" w14:paraId="0A676097" w14:textId="77777777">
              <w:trPr>
                <w:trHeight w:val="250"/>
              </w:trPr>
              <w:tc>
                <w:tcPr>
                  <w:tcW w:w="7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939D4" w14:textId="77777777" w:rsidR="00C72117" w:rsidRDefault="00C72117">
                  <w:pPr>
                    <w:widowControl/>
                    <w:suppressAutoHyphens w:val="0"/>
                    <w:spacing w:after="210" w:line="276" w:lineRule="auto"/>
                    <w:ind w:firstLine="240"/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</w:pP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Prirejanje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razstav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C6BFC" w14:textId="77777777" w:rsidR="00C72117" w:rsidRDefault="00C72117">
                  <w:pPr>
                    <w:widowControl/>
                    <w:suppressAutoHyphens w:val="0"/>
                    <w:spacing w:after="210" w:line="276" w:lineRule="auto"/>
                    <w:ind w:firstLine="240"/>
                    <w:jc w:val="center"/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</w:pPr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50 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eur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/dan</w:t>
                  </w:r>
                </w:p>
              </w:tc>
            </w:tr>
            <w:tr w:rsidR="00C72117" w14:paraId="4560C64F" w14:textId="77777777">
              <w:trPr>
                <w:trHeight w:val="250"/>
              </w:trPr>
              <w:tc>
                <w:tcPr>
                  <w:tcW w:w="7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F1439E" w14:textId="77777777" w:rsidR="00C72117" w:rsidRDefault="00C72117">
                  <w:pPr>
                    <w:widowControl/>
                    <w:suppressAutoHyphens w:val="0"/>
                    <w:spacing w:after="210" w:line="276" w:lineRule="auto"/>
                    <w:ind w:firstLine="240"/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</w:pP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Zabavna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prireditev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 – 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površina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do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vključno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1500 m</w:t>
                  </w:r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vertAlign w:val="superscript"/>
                      <w:lang w:eastAsia="en-US" w:bidi="ar-SA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BD82B" w14:textId="77777777" w:rsidR="00C72117" w:rsidRDefault="00C72117">
                  <w:pPr>
                    <w:widowControl/>
                    <w:suppressAutoHyphens w:val="0"/>
                    <w:spacing w:after="210" w:line="276" w:lineRule="auto"/>
                    <w:ind w:firstLine="240"/>
                    <w:jc w:val="center"/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</w:pPr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150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eur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/dan</w:t>
                  </w:r>
                </w:p>
              </w:tc>
            </w:tr>
            <w:tr w:rsidR="00C72117" w14:paraId="695B249C" w14:textId="77777777">
              <w:trPr>
                <w:trHeight w:val="250"/>
              </w:trPr>
              <w:tc>
                <w:tcPr>
                  <w:tcW w:w="7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492A0" w14:textId="77777777" w:rsidR="00C72117" w:rsidRDefault="00C72117">
                  <w:pPr>
                    <w:widowControl/>
                    <w:suppressAutoHyphens w:val="0"/>
                    <w:spacing w:after="210" w:line="276" w:lineRule="auto"/>
                    <w:ind w:firstLine="240"/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</w:pP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Zabavna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prireditev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 – 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površina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nad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 1500 m</w:t>
                  </w:r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vertAlign w:val="superscript"/>
                      <w:lang w:eastAsia="en-US" w:bidi="ar-SA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9DA5E" w14:textId="77777777" w:rsidR="00C72117" w:rsidRDefault="00C72117">
                  <w:pPr>
                    <w:widowControl/>
                    <w:suppressAutoHyphens w:val="0"/>
                    <w:spacing w:after="210" w:line="276" w:lineRule="auto"/>
                    <w:ind w:firstLine="240"/>
                    <w:jc w:val="center"/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</w:pPr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 xml:space="preserve">500 </w:t>
                  </w:r>
                  <w:proofErr w:type="spellStart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eur</w:t>
                  </w:r>
                  <w:proofErr w:type="spellEnd"/>
                  <w:r>
                    <w:rPr>
                      <w:rFonts w:ascii="Arial Narrow" w:eastAsia="Calibri" w:hAnsi="Arial Narrow" w:cs="Arial"/>
                      <w:color w:val="333333"/>
                      <w:kern w:val="0"/>
                      <w:sz w:val="20"/>
                      <w:szCs w:val="22"/>
                      <w:lang w:eastAsia="en-US" w:bidi="ar-SA"/>
                    </w:rPr>
                    <w:t>/dan</w:t>
                  </w:r>
                </w:p>
              </w:tc>
            </w:tr>
          </w:tbl>
          <w:p w14:paraId="6898540E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sl-SI" w:eastAsia="sl-SI" w:bidi="ar-SA"/>
              </w:rPr>
            </w:pPr>
          </w:p>
        </w:tc>
      </w:tr>
      <w:tr w:rsidR="00C72117" w14:paraId="2C854B2A" w14:textId="77777777" w:rsidTr="00C72117">
        <w:trPr>
          <w:trHeight w:val="126"/>
        </w:trPr>
        <w:tc>
          <w:tcPr>
            <w:tcW w:w="9223" w:type="dxa"/>
          </w:tcPr>
          <w:p w14:paraId="6A7884A3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sl-SI" w:bidi="ar-SA"/>
              </w:rPr>
            </w:pPr>
          </w:p>
        </w:tc>
      </w:tr>
      <w:tr w:rsidR="00C72117" w14:paraId="648BAE77" w14:textId="77777777" w:rsidTr="00C72117">
        <w:trPr>
          <w:trHeight w:val="126"/>
        </w:trPr>
        <w:tc>
          <w:tcPr>
            <w:tcW w:w="9223" w:type="dxa"/>
          </w:tcPr>
          <w:p w14:paraId="10A15DF5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lang w:eastAsia="sl-SI" w:bidi="ar-SA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kern w:val="0"/>
                <w:lang w:eastAsia="sl-SI" w:bidi="ar-SA"/>
              </w:rPr>
              <w:t xml:space="preserve">14. </w:t>
            </w:r>
            <w:proofErr w:type="spellStart"/>
            <w:r>
              <w:rPr>
                <w:rFonts w:ascii="Arial Narrow" w:eastAsia="Times New Roman" w:hAnsi="Arial Narrow" w:cs="Calibri"/>
                <w:b/>
                <w:color w:val="000000"/>
                <w:kern w:val="0"/>
                <w:lang w:eastAsia="sl-SI" w:bidi="ar-SA"/>
              </w:rPr>
              <w:t>člen</w:t>
            </w:r>
            <w:proofErr w:type="spellEnd"/>
          </w:p>
          <w:p w14:paraId="199E2F5C" w14:textId="77777777" w:rsidR="00C72117" w:rsidRDefault="00C7211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lang w:eastAsia="sl-SI" w:bidi="ar-SA"/>
              </w:rPr>
            </w:pPr>
          </w:p>
        </w:tc>
      </w:tr>
    </w:tbl>
    <w:p w14:paraId="5DB10776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lang w:val="sl-SI" w:eastAsia="sl-SI" w:bidi="ar-SA"/>
        </w:rPr>
      </w:pP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Občinske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takse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ne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plačujejo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javni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zavodi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,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javni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gospodarski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zavodi,katerih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ustanoviteljica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je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,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kot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organizatorka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,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društva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, ki so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sofinancirana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iz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proračuna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Ribnica in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humanitarne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organizacije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.</w:t>
      </w:r>
    </w:p>
    <w:p w14:paraId="6B7819D9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O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znižanju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oziroma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oprostitvi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plačila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občinske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takse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za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vsa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ostala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društva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oziroma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organizacije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, ki ne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spadajo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pod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prejšnji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odstavek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,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na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podlagi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vloge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odloča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občinski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svet</w:t>
      </w:r>
      <w:proofErr w:type="spellEnd"/>
      <w:r>
        <w:rPr>
          <w:rFonts w:ascii="Arial Narrow" w:eastAsia="Times New Roman" w:hAnsi="Arial Narrow" w:cs="Calibri"/>
          <w:color w:val="000000"/>
          <w:kern w:val="0"/>
          <w:lang w:eastAsia="sl-SI" w:bidi="ar-SA"/>
        </w:rPr>
        <w:t>.</w:t>
      </w:r>
    </w:p>
    <w:p w14:paraId="79848DD1" w14:textId="77777777" w:rsidR="00C72117" w:rsidRDefault="00C72117" w:rsidP="00C72117">
      <w:pPr>
        <w:widowControl/>
        <w:suppressAutoHyphens w:val="0"/>
        <w:autoSpaceDE w:val="0"/>
        <w:autoSpaceDN w:val="0"/>
        <w:adjustRightInd w:val="0"/>
        <w:rPr>
          <w:rFonts w:ascii="Arial Narrow" w:eastAsia="Times New Roman" w:hAnsi="Arial Narrow" w:cs="Calibri"/>
          <w:color w:val="000000"/>
          <w:kern w:val="0"/>
          <w:lang w:eastAsia="sl-SI" w:bidi="ar-SA"/>
        </w:rPr>
      </w:pPr>
    </w:p>
    <w:p w14:paraId="46FBB21A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40EC69BC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48A1266A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694B9788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1401333F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0B7F5756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2F462C53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321F3AD4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7320A636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46956598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6C675B59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p w14:paraId="54284B15" w14:textId="77777777" w:rsidR="000074FC" w:rsidRDefault="000074FC">
      <w:pPr>
        <w:rPr>
          <w:rFonts w:ascii="ITC Legacy Sans" w:hAnsi="ITC Legacy Sans" w:cs="ITC Legacy Sans"/>
          <w:sz w:val="22"/>
          <w:szCs w:val="22"/>
        </w:rPr>
      </w:pPr>
    </w:p>
    <w:sectPr w:rsidR="000074FC" w:rsidSect="00C721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2" w:right="991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3157" w14:textId="77777777" w:rsidR="007B0036" w:rsidRDefault="007B0036">
      <w:r>
        <w:separator/>
      </w:r>
    </w:p>
  </w:endnote>
  <w:endnote w:type="continuationSeparator" w:id="0">
    <w:p w14:paraId="509596C5" w14:textId="77777777" w:rsidR="007B0036" w:rsidRDefault="007B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Legacy Sans">
    <w:altName w:val="Cambria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6B1C" w14:textId="77777777" w:rsidR="000074FC" w:rsidRDefault="003954A4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A6F" w14:textId="77777777" w:rsidR="000074FC" w:rsidRDefault="003954A4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2EA4" w14:textId="77777777" w:rsidR="007B0036" w:rsidRDefault="007B0036">
      <w:r>
        <w:separator/>
      </w:r>
    </w:p>
  </w:footnote>
  <w:footnote w:type="continuationSeparator" w:id="0">
    <w:p w14:paraId="422FB4AE" w14:textId="77777777" w:rsidR="007B0036" w:rsidRDefault="007B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CBFF" w14:textId="77777777" w:rsidR="000074FC" w:rsidRDefault="00007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AE1B" w14:textId="77777777" w:rsidR="000074FC" w:rsidRDefault="003954A4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16923F0E" wp14:editId="0389C1B3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6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C"/>
    <w:rsid w:val="000074FC"/>
    <w:rsid w:val="00372807"/>
    <w:rsid w:val="003954A4"/>
    <w:rsid w:val="0068387C"/>
    <w:rsid w:val="007B0036"/>
    <w:rsid w:val="00A47375"/>
    <w:rsid w:val="00C7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E7A"/>
  <w15:docId w15:val="{205F35AB-3DEF-4B12-82FA-602D09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Metka Tomšič</cp:lastModifiedBy>
  <cp:revision>3</cp:revision>
  <dcterms:created xsi:type="dcterms:W3CDTF">2022-01-31T11:15:00Z</dcterms:created>
  <dcterms:modified xsi:type="dcterms:W3CDTF">2022-02-01T09:34:00Z</dcterms:modified>
  <dc:language>en-US</dc:language>
</cp:coreProperties>
</file>